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bookmarkStart w:id="0" w:name="_GoBack"/>
      <w:r w:rsidR="00836BF4" w:rsidRPr="0036659E">
        <w:rPr>
          <w:rFonts w:hint="eastAsia"/>
          <w:sz w:val="24"/>
        </w:rPr>
        <w:t>業務実施申請区間</w:t>
      </w:r>
      <w:bookmarkEnd w:id="0"/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F18B" w14:textId="5C1B102E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36659E" w:rsidRPr="0036659E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6659E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FB05-F2CA-4F2E-9E2B-362070E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2024-11-06T01:09:00Z</dcterms:modified>
</cp:coreProperties>
</file>